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F9298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0C7CC0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555DB3" w:rsidRPr="00555DB3" w:rsidRDefault="00395247" w:rsidP="008823A4">
      <w:pPr>
        <w:pStyle w:val="Bezodstpw1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03E75" w:themeColor="background2" w:themeShade="4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="00011B55">
        <w:rPr>
          <w:rFonts w:ascii="Arial" w:hAnsi="Arial" w:cs="Arial"/>
          <w:color w:val="272D37" w:themeColor="text2" w:themeShade="80"/>
        </w:rPr>
        <w:t xml:space="preserve"> </w:t>
      </w:r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„Wykonanie monitoringu </w:t>
      </w:r>
      <w:proofErr w:type="spellStart"/>
      <w:r w:rsidR="00011B55" w:rsidRPr="00011B55">
        <w:rPr>
          <w:rFonts w:ascii="Arial" w:hAnsi="Arial" w:cs="Arial"/>
          <w:b/>
          <w:color w:val="003E75" w:themeColor="background2" w:themeShade="40"/>
        </w:rPr>
        <w:t>chiropterologicznego</w:t>
      </w:r>
      <w:proofErr w:type="spellEnd"/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 podczas jesiennego rojenia nietoperzy na terenie obszaru Natura 2000 Twierdza </w:t>
      </w:r>
      <w:proofErr w:type="spellStart"/>
      <w:r w:rsidR="00011B55" w:rsidRPr="00011B55">
        <w:rPr>
          <w:rFonts w:ascii="Arial" w:hAnsi="Arial" w:cs="Arial"/>
          <w:b/>
          <w:color w:val="003E75" w:themeColor="background2" w:themeShade="40"/>
        </w:rPr>
        <w:t>Wisłoujście</w:t>
      </w:r>
      <w:proofErr w:type="spellEnd"/>
      <w:r w:rsidR="00011B55" w:rsidRPr="00011B55">
        <w:rPr>
          <w:rFonts w:ascii="Arial" w:hAnsi="Arial" w:cs="Arial"/>
          <w:b/>
          <w:color w:val="003E75" w:themeColor="background2" w:themeShade="40"/>
        </w:rPr>
        <w:t xml:space="preserve"> PLH220030</w:t>
      </w:r>
      <w:r w:rsidR="00011B55">
        <w:rPr>
          <w:rFonts w:ascii="Arial" w:hAnsi="Arial" w:cs="Arial"/>
          <w:b/>
          <w:color w:val="003E75" w:themeColor="background2" w:themeShade="40"/>
        </w:rPr>
        <w:t>”.</w:t>
      </w:r>
    </w:p>
    <w:p w:rsidR="00011B55" w:rsidRPr="00011B55" w:rsidRDefault="00011B55" w:rsidP="008823A4">
      <w:pPr>
        <w:pStyle w:val="AR1"/>
        <w:numPr>
          <w:ilvl w:val="0"/>
          <w:numId w:val="39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 xml:space="preserve">Przedmiot Umowy obejmuje przeprowadzenie liczenia nietoperzy w okresie ich jesiennego rojenia </w:t>
      </w:r>
      <w:r w:rsidR="00A972F7" w:rsidRPr="00011B55">
        <w:rPr>
          <w:color w:val="00192F" w:themeColor="background2" w:themeShade="1A"/>
          <w:sz w:val="22"/>
          <w:szCs w:val="22"/>
        </w:rPr>
        <w:t>.</w:t>
      </w:r>
    </w:p>
    <w:p w:rsidR="00011B55" w:rsidRPr="00011B55" w:rsidRDefault="00011B55" w:rsidP="008823A4">
      <w:pPr>
        <w:pStyle w:val="AR1"/>
        <w:numPr>
          <w:ilvl w:val="0"/>
          <w:numId w:val="40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 xml:space="preserve">Monitoringiem należy objąć miejsca wskazane w planie zadań ochronnych </w:t>
      </w:r>
      <w:r w:rsidRPr="00011B55">
        <w:rPr>
          <w:color w:val="00192F" w:themeColor="background2" w:themeShade="1A"/>
          <w:sz w:val="22"/>
          <w:szCs w:val="22"/>
        </w:rPr>
        <w:br/>
        <w:t>dla ww. obszaru Natura 2000, tj.: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>Bastion Południowo-Wschodni (N54º23’42” E18º40’47”);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  <w:lang w:val="en-US"/>
        </w:rPr>
      </w:pPr>
      <w:r w:rsidRPr="00011B55">
        <w:rPr>
          <w:color w:val="00192F" w:themeColor="background2" w:themeShade="1A"/>
          <w:sz w:val="22"/>
          <w:szCs w:val="22"/>
          <w:lang w:val="en-US"/>
        </w:rPr>
        <w:t xml:space="preserve">Bastion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Ostroróg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(N54º23’45” E18º40’49”);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  <w:lang w:val="en-US"/>
        </w:rPr>
      </w:pPr>
      <w:r w:rsidRPr="00011B55">
        <w:rPr>
          <w:color w:val="00192F" w:themeColor="background2" w:themeShade="1A"/>
          <w:sz w:val="22"/>
          <w:szCs w:val="22"/>
          <w:lang w:val="en-US"/>
        </w:rPr>
        <w:t xml:space="preserve">Bastion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Furta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</w:t>
      </w:r>
      <w:proofErr w:type="spellStart"/>
      <w:r w:rsidRPr="00011B55">
        <w:rPr>
          <w:color w:val="00192F" w:themeColor="background2" w:themeShade="1A"/>
          <w:sz w:val="22"/>
          <w:szCs w:val="22"/>
          <w:lang w:val="en-US"/>
        </w:rPr>
        <w:t>Wodna</w:t>
      </w:r>
      <w:proofErr w:type="spellEnd"/>
      <w:r w:rsidRPr="00011B55">
        <w:rPr>
          <w:color w:val="00192F" w:themeColor="background2" w:themeShade="1A"/>
          <w:sz w:val="22"/>
          <w:szCs w:val="22"/>
          <w:lang w:val="en-US"/>
        </w:rPr>
        <w:t xml:space="preserve"> (N54º23’43” E18º40’42”);</w:t>
      </w:r>
    </w:p>
    <w:p w:rsidR="00011B55" w:rsidRPr="00011B55" w:rsidRDefault="00011B55" w:rsidP="008823A4">
      <w:pPr>
        <w:pStyle w:val="AR1"/>
        <w:numPr>
          <w:ilvl w:val="0"/>
          <w:numId w:val="38"/>
        </w:numPr>
        <w:rPr>
          <w:color w:val="00192F" w:themeColor="background2" w:themeShade="1A"/>
          <w:sz w:val="22"/>
          <w:szCs w:val="22"/>
        </w:rPr>
      </w:pPr>
      <w:r w:rsidRPr="00011B55">
        <w:rPr>
          <w:color w:val="00192F" w:themeColor="background2" w:themeShade="1A"/>
          <w:sz w:val="22"/>
          <w:szCs w:val="22"/>
        </w:rPr>
        <w:t>Bastion Artyleryjski (N54º23’47” E18º40’45”).</w:t>
      </w:r>
    </w:p>
    <w:p w:rsidR="00955087" w:rsidRPr="00011B55" w:rsidRDefault="00011B55" w:rsidP="008823A4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011B55">
        <w:rPr>
          <w:rFonts w:ascii="Arial" w:hAnsi="Arial" w:cs="Arial"/>
          <w:color w:val="272D37" w:themeColor="text2" w:themeShade="80"/>
        </w:rPr>
        <w:t>Szczegółowy opis Przedmiotu Umowy zawiera Załącznik nr 1 do SWZ i do umowy, stanowiący jej integralną część.</w:t>
      </w:r>
      <w:r w:rsidRPr="00011B55">
        <w:rPr>
          <w:color w:val="272D37" w:themeColor="text2" w:themeShade="80"/>
        </w:rPr>
        <w:t xml:space="preserve"> </w:t>
      </w:r>
    </w:p>
    <w:p w:rsidR="00D46FC8" w:rsidRPr="00555DB3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</w:rPr>
      </w:pPr>
      <w:r w:rsidRPr="00555DB3">
        <w:rPr>
          <w:rFonts w:ascii="Arial" w:eastAsia="Times New Roman" w:hAnsi="Arial" w:cs="Arial"/>
          <w:bCs/>
          <w:color w:val="272D37" w:themeColor="text2" w:themeShade="80"/>
        </w:rPr>
        <w:lastRenderedPageBreak/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0B726F" w:rsidRPr="000B726F">
        <w:rPr>
          <w:rFonts w:ascii="Arial" w:hAnsi="Arial" w:cs="Arial"/>
          <w:b/>
          <w:color w:val="272D37" w:themeColor="text2" w:themeShade="80"/>
        </w:rPr>
        <w:t>0</w:t>
      </w:r>
      <w:r w:rsidR="000B726F">
        <w:rPr>
          <w:rFonts w:ascii="Arial" w:hAnsi="Arial" w:cs="Arial"/>
          <w:b/>
          <w:color w:val="272D37" w:themeColor="text2" w:themeShade="80"/>
        </w:rPr>
        <w:t>2 listopada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6160D3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555DB3" w:rsidRPr="00555DB3" w:rsidRDefault="000B726F" w:rsidP="00555DB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t>Prace</w:t>
      </w:r>
      <w:r w:rsidR="00B331FB">
        <w:rPr>
          <w:rFonts w:ascii="Arial" w:hAnsi="Arial" w:cs="Arial"/>
          <w:color w:val="272D37" w:themeColor="text2" w:themeShade="80"/>
        </w:rPr>
        <w:t xml:space="preserve"> terenowe </w:t>
      </w:r>
      <w:r>
        <w:rPr>
          <w:rFonts w:ascii="Arial" w:hAnsi="Arial" w:cs="Arial"/>
          <w:color w:val="272D37" w:themeColor="text2" w:themeShade="80"/>
        </w:rPr>
        <w:t xml:space="preserve">należy wykonać w terminie </w:t>
      </w:r>
      <w:r w:rsidRPr="000B726F">
        <w:rPr>
          <w:rFonts w:ascii="Arial" w:hAnsi="Arial" w:cs="Arial"/>
          <w:b/>
          <w:color w:val="272D37" w:themeColor="text2" w:themeShade="80"/>
        </w:rPr>
        <w:t xml:space="preserve">01 września do 25 września </w:t>
      </w:r>
      <w:r w:rsidR="00555DB3" w:rsidRPr="000B726F">
        <w:rPr>
          <w:rFonts w:ascii="Arial" w:hAnsi="Arial" w:cs="Arial"/>
          <w:b/>
          <w:color w:val="272D37" w:themeColor="text2" w:themeShade="80"/>
        </w:rPr>
        <w:t xml:space="preserve"> 2022</w:t>
      </w:r>
      <w:r w:rsidR="00555DB3">
        <w:rPr>
          <w:rFonts w:ascii="Arial" w:hAnsi="Arial" w:cs="Arial"/>
          <w:color w:val="272D37" w:themeColor="text2" w:themeShade="80"/>
        </w:rPr>
        <w:t xml:space="preserve">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 xml:space="preserve">materiałów na osoby trzecie. Materiał dostarcza się z zastrzeżeniem, że nie będzie on w całości lub </w:t>
      </w:r>
      <w:r w:rsidR="000C7CC0">
        <w:rPr>
          <w:rFonts w:ascii="Arial" w:hAnsi="Arial" w:cs="Arial"/>
          <w:color w:val="272D37" w:themeColor="text2" w:themeShade="80"/>
        </w:rPr>
        <w:br/>
      </w:r>
      <w:r w:rsidRPr="00A23B81">
        <w:rPr>
          <w:rFonts w:ascii="Arial" w:hAnsi="Arial" w:cs="Arial"/>
          <w:color w:val="272D37" w:themeColor="text2" w:themeShade="80"/>
        </w:rPr>
        <w:t>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9E47EC" w:rsidRPr="009E47EC" w:rsidRDefault="009E47EC" w:rsidP="009E47E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Pr="00B651D8">
        <w:rPr>
          <w:rFonts w:ascii="Arial" w:hAnsi="Arial" w:cs="Arial"/>
          <w:bCs/>
          <w:color w:val="00192F" w:themeColor="background2" w:themeShade="1A"/>
        </w:rPr>
        <w:t xml:space="preserve"> oświadcza, iż: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posiada aktualne zezwolenie na niepokojenie, odłów oraz chwilowe przetrzymywanie gatunków objętych ochroną gatunkową na podstawie ustawy dnia 16 kwietnia 2004 r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o ochronie przyrody (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 Dz. U z 202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916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osoby biorące udział w odłowach 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chiropterofauny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posiadają aktualne zezwolenie na niepokojenie, odłów oraz chwilowe przetrzymywanie gatunków objętych ochroną gatunkową na podstawie ustawy dnia 16 kwietnia 2004 r o ochronie przyrody (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t.j.Dz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 U z 202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</w:t>
      </w:r>
      <w:r w:rsidRPr="00530ED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>
        <w:rPr>
          <w:rFonts w:ascii="Arial" w:eastAsia="Times New Roman" w:hAnsi="Arial" w:cs="Arial"/>
          <w:color w:val="00192F" w:themeColor="background2" w:themeShade="1A"/>
          <w:lang w:eastAsia="pl-PL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uzyska </w:t>
      </w:r>
      <w:r w:rsidRPr="00B651D8">
        <w:rPr>
          <w:rFonts w:ascii="Arial" w:hAnsi="Arial" w:cs="Arial"/>
          <w:color w:val="00192F" w:themeColor="background2" w:themeShade="1A"/>
        </w:rPr>
        <w:t xml:space="preserve">odpowiednie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Przedmiotem </w:t>
      </w:r>
      <w:r>
        <w:rPr>
          <w:rFonts w:ascii="Arial" w:hAnsi="Arial" w:cs="Arial"/>
          <w:color w:val="00192F" w:themeColor="background2" w:themeShade="1A"/>
        </w:rPr>
        <w:t>Umowy</w:t>
      </w:r>
      <w:r w:rsidRPr="00B651D8">
        <w:rPr>
          <w:rFonts w:ascii="Arial" w:hAnsi="Arial" w:cs="Arial"/>
          <w:color w:val="00192F" w:themeColor="background2" w:themeShade="1A"/>
        </w:rPr>
        <w:t>;</w:t>
      </w:r>
    </w:p>
    <w:p w:rsidR="009E47EC" w:rsidRPr="00B651D8" w:rsidRDefault="009E47EC" w:rsidP="009E47EC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poinformuje mailowo RDOŚ w Gdańsku, </w:t>
      </w:r>
      <w:r w:rsidRPr="00B651D8">
        <w:rPr>
          <w:rFonts w:ascii="Arial" w:hAnsi="Arial" w:cs="Arial"/>
          <w:color w:val="00192F" w:themeColor="background2" w:themeShade="1A"/>
        </w:rPr>
        <w:t xml:space="preserve">(pocztą elektroniczną na adres: </w:t>
      </w:r>
      <w:hyperlink r:id="rId9" w:history="1">
        <w:r w:rsidRPr="00B651D8">
          <w:rPr>
            <w:rStyle w:val="Hipercze"/>
            <w:rFonts w:ascii="Arial" w:hAnsi="Arial" w:cs="Arial"/>
            <w:color w:val="00192F" w:themeColor="background2" w:themeShade="1A"/>
          </w:rPr>
          <w:t>sekretariat.gdansk@rdos.gov.pl</w:t>
        </w:r>
      </w:hyperlink>
      <w:r w:rsidRPr="00B651D8">
        <w:rPr>
          <w:rFonts w:ascii="Arial" w:hAnsi="Arial" w:cs="Arial"/>
          <w:color w:val="00192F" w:themeColor="background2" w:themeShade="1A"/>
        </w:rPr>
        <w:t xml:space="preserve">) o terminie przeprowadzenia liczenia </w:t>
      </w:r>
      <w:r>
        <w:rPr>
          <w:rFonts w:ascii="Arial" w:hAnsi="Arial" w:cs="Arial"/>
          <w:color w:val="00192F" w:themeColor="background2" w:themeShade="1A"/>
        </w:rPr>
        <w:t>jesiennego</w:t>
      </w:r>
      <w:r w:rsidRPr="00B651D8">
        <w:rPr>
          <w:rFonts w:ascii="Arial" w:hAnsi="Arial" w:cs="Arial"/>
          <w:color w:val="00192F" w:themeColor="background2" w:themeShade="1A"/>
        </w:rPr>
        <w:t xml:space="preserve"> nietoperzy na terenie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B651D8">
        <w:rPr>
          <w:rFonts w:ascii="Arial" w:hAnsi="Arial" w:cs="Arial"/>
          <w:color w:val="00192F" w:themeColor="background2" w:themeShade="1A"/>
        </w:rPr>
        <w:t xml:space="preserve">  oraz przedstawi kopie zezwoleń, o których mowa w § 2 ust.</w:t>
      </w:r>
      <w:r>
        <w:rPr>
          <w:rFonts w:ascii="Arial" w:hAnsi="Arial" w:cs="Arial"/>
          <w:color w:val="00192F" w:themeColor="background2" w:themeShade="1A"/>
        </w:rPr>
        <w:t xml:space="preserve"> 5</w:t>
      </w:r>
      <w:r w:rsidRPr="00B651D8">
        <w:rPr>
          <w:rFonts w:ascii="Arial" w:hAnsi="Arial" w:cs="Arial"/>
          <w:color w:val="00192F" w:themeColor="background2" w:themeShade="1A"/>
        </w:rPr>
        <w:t xml:space="preserve"> pkt.</w:t>
      </w:r>
      <w:r>
        <w:rPr>
          <w:rFonts w:ascii="Arial" w:hAnsi="Arial" w:cs="Arial"/>
          <w:color w:val="00192F" w:themeColor="background2" w:themeShade="1A"/>
        </w:rPr>
        <w:t>1</w:t>
      </w:r>
      <w:r w:rsidRPr="00B651D8">
        <w:rPr>
          <w:rFonts w:ascii="Arial" w:hAnsi="Arial" w:cs="Arial"/>
          <w:color w:val="00192F" w:themeColor="background2" w:themeShade="1A"/>
        </w:rPr>
        <w:t xml:space="preserve"> i </w:t>
      </w:r>
      <w:r>
        <w:rPr>
          <w:rFonts w:ascii="Arial" w:hAnsi="Arial" w:cs="Arial"/>
          <w:color w:val="00192F" w:themeColor="background2" w:themeShade="1A"/>
        </w:rPr>
        <w:t>2</w:t>
      </w:r>
      <w:r w:rsidR="00A648C0">
        <w:rPr>
          <w:rFonts w:ascii="Arial" w:hAnsi="Arial" w:cs="Arial"/>
          <w:color w:val="00192F" w:themeColor="background2" w:themeShade="1A"/>
        </w:rPr>
        <w:t xml:space="preserve"> i przedstawi listę osób biorących udział w pracach terenowych</w:t>
      </w:r>
      <w:r w:rsidRPr="00B651D8">
        <w:rPr>
          <w:rFonts w:ascii="Arial" w:hAnsi="Arial" w:cs="Arial"/>
          <w:color w:val="00192F" w:themeColor="background2" w:themeShade="1A"/>
        </w:rPr>
        <w:t>;</w:t>
      </w:r>
    </w:p>
    <w:p w:rsidR="000D0C38" w:rsidRPr="00600609" w:rsidRDefault="009E47EC" w:rsidP="0060060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uzyskał zgodę na wejście na teren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B651D8">
        <w:rPr>
          <w:rFonts w:ascii="Arial" w:hAnsi="Arial" w:cs="Arial"/>
          <w:color w:val="00192F" w:themeColor="background2" w:themeShade="1A"/>
        </w:rPr>
        <w:t xml:space="preserve"> od jej Zarządcy tj. Muzeum Historycznego Miasta Gdańska.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8F48E2" w:rsidRPr="00600609" w:rsidRDefault="00600609" w:rsidP="0060060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ponosi odpowiedzialność za  stosowanie w trakcie realizacji przedmiotu umowy przepisów bhp i p.poż.</w:t>
      </w:r>
      <w:r w:rsidRPr="00600609">
        <w:rPr>
          <w:rFonts w:ascii="Arial" w:hAnsi="Arial" w:cs="Arial"/>
          <w:color w:val="272D37" w:themeColor="text2" w:themeShade="80"/>
        </w:rPr>
        <w:t xml:space="preserve"> </w:t>
      </w:r>
    </w:p>
    <w:p w:rsidR="00191D61" w:rsidRPr="008F48E2" w:rsidRDefault="008F48E2" w:rsidP="00600609">
      <w:pPr>
        <w:pStyle w:val="Akapitzlist"/>
        <w:numPr>
          <w:ilvl w:val="0"/>
          <w:numId w:val="5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530469" w:rsidRPr="00B651D8" w:rsidRDefault="0060060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mapy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(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rozdzielczość nie mniejsza niż 300 </w:t>
      </w:r>
      <w:proofErr w:type="spellStart"/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  <w:r w:rsidR="0053046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>fotografie w formacie JPG</w:t>
      </w:r>
      <w:r w:rsidR="00600609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(w możliwie dobrej rozdzielczości)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9149C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SHP;</w:t>
      </w:r>
    </w:p>
    <w:p w:rsidR="00A41CFE" w:rsidRPr="00B651D8" w:rsidRDefault="00191D61" w:rsidP="009149CD">
      <w:pPr>
        <w:pStyle w:val="Domylnie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="001E296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% podatku VAT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zł.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brutto </w:t>
      </w:r>
      <w:r w:rsid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1E296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r w:rsidR="001E2969" w:rsidRPr="001E296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0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1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8823A4">
      <w:pPr>
        <w:pStyle w:val="Akapitzlist"/>
        <w:numPr>
          <w:ilvl w:val="0"/>
          <w:numId w:val="24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>02 listopada 2022 r.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B6F25">
        <w:rPr>
          <w:rFonts w:ascii="Arial" w:hAnsi="Arial" w:cs="Arial"/>
          <w:b/>
          <w:bCs/>
          <w:color w:val="00192F" w:themeColor="background2" w:themeShade="1A"/>
        </w:rPr>
        <w:t xml:space="preserve"> 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8823A4">
      <w:pPr>
        <w:pStyle w:val="Akapitzlist"/>
        <w:numPr>
          <w:ilvl w:val="0"/>
          <w:numId w:val="2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>yznacza swoich przedstawicieli: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Magdalena </w:t>
      </w:r>
      <w:proofErr w:type="spellStart"/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>Rusiniak</w:t>
      </w:r>
      <w:proofErr w:type="spellEnd"/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 xml:space="preserve">z tytułu przeniesienia autorskich praw majątkowych do całości utworów, praw zależnych, </w:t>
      </w:r>
      <w:r w:rsidR="000C7CC0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1B6F25">
        <w:rPr>
          <w:rFonts w:ascii="Arial" w:hAnsi="Arial" w:cs="Arial"/>
          <w:color w:val="272D37" w:themeColor="text2" w:themeShade="80"/>
        </w:rPr>
        <w:t xml:space="preserve"> ze zm.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BA5C73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="00053B1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723AC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723AC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2</w:t>
      </w:r>
      <w:r w:rsidR="008048C1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6128C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§ </w:t>
      </w:r>
      <w:r w:rsidR="006456C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0C7CC0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9723AC">
        <w:rPr>
          <w:rFonts w:ascii="Arial" w:hAnsi="Arial" w:cs="Arial"/>
          <w:color w:val="00192F" w:themeColor="background2" w:themeShade="1A"/>
        </w:rPr>
        <w:t>;</w:t>
      </w:r>
      <w:r w:rsidR="00B651D8" w:rsidRPr="009723AC">
        <w:rPr>
          <w:rFonts w:ascii="Arial" w:hAnsi="Arial" w:cs="Arial"/>
          <w:color w:val="00192F" w:themeColor="background2" w:themeShade="1A"/>
        </w:rPr>
        <w:t xml:space="preserve"> </w:t>
      </w:r>
    </w:p>
    <w:p w:rsidR="000C7CC0" w:rsidRPr="001B6F25" w:rsidRDefault="000C7CC0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>
        <w:rPr>
          <w:rFonts w:ascii="Arial" w:hAnsi="Arial" w:cs="Arial"/>
          <w:color w:val="00192F" w:themeColor="background2" w:themeShade="1A"/>
        </w:rPr>
        <w:t>monitoringu</w:t>
      </w:r>
      <w:r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1B6F25" w:rsidRPr="001B6F25" w:rsidRDefault="001B6F25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brak aktualnego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Przedmiotem </w:t>
      </w:r>
      <w:r>
        <w:rPr>
          <w:rFonts w:ascii="Arial" w:hAnsi="Arial" w:cs="Arial"/>
          <w:color w:val="00192F" w:themeColor="background2" w:themeShade="1A"/>
        </w:rPr>
        <w:t>Umowy;</w:t>
      </w:r>
    </w:p>
    <w:p w:rsidR="001B6F25" w:rsidRPr="000C7CC0" w:rsidRDefault="001B6F25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nieprzedstawieni</w:t>
      </w:r>
      <w:r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listy osób biorących udział w monitoringu na terenie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>
        <w:rPr>
          <w:rFonts w:ascii="Arial" w:hAnsi="Arial" w:cs="Arial"/>
          <w:color w:val="00192F" w:themeColor="background2" w:themeShade="1A"/>
        </w:rPr>
        <w:t>;</w:t>
      </w:r>
    </w:p>
    <w:p w:rsidR="00440C5A" w:rsidRPr="009723AC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154772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Łączna wysokość kar naliczonych przez Zamawiającego z przyczyn określonych w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>ust. 1</w:t>
      </w:r>
    </w:p>
    <w:p w:rsidR="0096128C" w:rsidRPr="0096128C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Cs/>
          <w:color w:val="272D37" w:themeColor="text2" w:themeShade="80"/>
          <w:lang w:eastAsia="pl-PL"/>
        </w:rPr>
        <w:t>i 2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 umowy nie może przekroczyć 20% wartości wynagrodzenia brutto określonego </w:t>
      </w:r>
      <w:r w:rsidRPr="0096128C">
        <w:rPr>
          <w:rFonts w:ascii="Arial" w:eastAsia="Times New Roman" w:hAnsi="Arial" w:cs="Arial"/>
          <w:bCs/>
          <w:color w:val="272D37" w:themeColor="text2" w:themeShade="80"/>
          <w:lang w:eastAsia="pl-PL"/>
        </w:rPr>
        <w:br/>
        <w:t>w § 3 ust. 1.</w:t>
      </w:r>
    </w:p>
    <w:p w:rsidR="00440C5A" w:rsidRPr="0096128C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96128C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96128C">
        <w:rPr>
          <w:rFonts w:ascii="Arial" w:eastAsia="Times New Roman" w:hAnsi="Arial" w:cs="Arial"/>
          <w:b/>
          <w:color w:val="272D37" w:themeColor="text2" w:themeShade="80"/>
          <w:lang w:eastAsia="pl-PL"/>
        </w:rPr>
        <w:t xml:space="preserve"> 7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0C7CC0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8</w:t>
      </w:r>
    </w:p>
    <w:p w:rsidR="000C7CC0" w:rsidRPr="000C7CC0" w:rsidRDefault="00045DE3" w:rsidP="000C7C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</w:t>
      </w:r>
    </w:p>
    <w:p w:rsidR="00045DE3" w:rsidRPr="005755E0" w:rsidRDefault="00045DE3" w:rsidP="000C7CC0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  <w:r w:rsidR="000C7CC0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  <w:r w:rsidR="000C7CC0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8823A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2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</w:t>
      </w:r>
      <w:r w:rsidR="0096128C">
        <w:rPr>
          <w:rFonts w:ascii="Arial" w:hAnsi="Arial" w:cs="Arial"/>
          <w:b/>
          <w:color w:val="272D37" w:themeColor="text2" w:themeShade="80"/>
          <w:lang w:eastAsia="ar-SA"/>
        </w:rPr>
        <w:t>1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D60B3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128C">
      <w:rPr>
        <w:rFonts w:ascii="Arial" w:hAnsi="Arial" w:cs="Arial"/>
        <w:color w:val="2C3F71" w:themeColor="accent5" w:themeShade="80"/>
        <w:sz w:val="20"/>
        <w:szCs w:val="20"/>
      </w:rPr>
      <w:t>8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176A87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176A87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6A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6A87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3C177716" wp14:editId="6B4051EB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5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6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94BF8"/>
    <w:multiLevelType w:val="hybridMultilevel"/>
    <w:tmpl w:val="D9DA4348"/>
    <w:lvl w:ilvl="0" w:tplc="3F74AA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1"/>
  </w:num>
  <w:num w:numId="3">
    <w:abstractNumId w:val="11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4"/>
  </w:num>
  <w:num w:numId="7">
    <w:abstractNumId w:val="39"/>
  </w:num>
  <w:num w:numId="8">
    <w:abstractNumId w:val="26"/>
  </w:num>
  <w:num w:numId="9">
    <w:abstractNumId w:val="17"/>
  </w:num>
  <w:num w:numId="10">
    <w:abstractNumId w:val="36"/>
  </w:num>
  <w:num w:numId="11">
    <w:abstractNumId w:val="4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40"/>
  </w:num>
  <w:num w:numId="18">
    <w:abstractNumId w:val="32"/>
  </w:num>
  <w:num w:numId="19">
    <w:abstractNumId w:val="8"/>
  </w:num>
  <w:num w:numId="20">
    <w:abstractNumId w:val="31"/>
  </w:num>
  <w:num w:numId="21">
    <w:abstractNumId w:val="35"/>
  </w:num>
  <w:num w:numId="22">
    <w:abstractNumId w:val="30"/>
  </w:num>
  <w:num w:numId="23">
    <w:abstractNumId w:val="9"/>
  </w:num>
  <w:num w:numId="24">
    <w:abstractNumId w:val="29"/>
  </w:num>
  <w:num w:numId="25">
    <w:abstractNumId w:val="37"/>
  </w:num>
  <w:num w:numId="26">
    <w:abstractNumId w:val="23"/>
  </w:num>
  <w:num w:numId="27">
    <w:abstractNumId w:val="20"/>
  </w:num>
  <w:num w:numId="28">
    <w:abstractNumId w:val="12"/>
  </w:num>
  <w:num w:numId="29">
    <w:abstractNumId w:val="1"/>
  </w:num>
  <w:num w:numId="30">
    <w:abstractNumId w:val="38"/>
  </w:num>
  <w:num w:numId="31">
    <w:abstractNumId w:val="14"/>
  </w:num>
  <w:num w:numId="32">
    <w:abstractNumId w:val="5"/>
  </w:num>
  <w:num w:numId="33">
    <w:abstractNumId w:val="22"/>
  </w:num>
  <w:num w:numId="34">
    <w:abstractNumId w:val="0"/>
  </w:num>
  <w:num w:numId="35">
    <w:abstractNumId w:val="28"/>
  </w:num>
  <w:num w:numId="36">
    <w:abstractNumId w:val="25"/>
  </w:num>
  <w:num w:numId="37">
    <w:abstractNumId w:val="10"/>
  </w:num>
  <w:num w:numId="38">
    <w:abstractNumId w:val="34"/>
  </w:num>
  <w:num w:numId="39">
    <w:abstractNumId w:val="27"/>
  </w:num>
  <w:num w:numId="40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4772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76A87"/>
    <w:rsid w:val="00182436"/>
    <w:rsid w:val="00183C4B"/>
    <w:rsid w:val="00184E55"/>
    <w:rsid w:val="00191D61"/>
    <w:rsid w:val="001B21C4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A7B26"/>
    <w:rsid w:val="004B2B93"/>
    <w:rsid w:val="004D321D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609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40AF"/>
    <w:rsid w:val="00986032"/>
    <w:rsid w:val="00994DCC"/>
    <w:rsid w:val="009A375B"/>
    <w:rsid w:val="009B7EFF"/>
    <w:rsid w:val="009C1011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5C73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55EEC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dansk.rdos.gov.pl/system-zarzadzania-srodowiskowego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dalena.rusiniak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AA2A-AACE-4D85-B5F7-D6109FCA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10</Pages>
  <Words>3897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16</cp:revision>
  <cp:lastPrinted>2022-06-13T12:27:00Z</cp:lastPrinted>
  <dcterms:created xsi:type="dcterms:W3CDTF">2022-05-13T07:44:00Z</dcterms:created>
  <dcterms:modified xsi:type="dcterms:W3CDTF">2022-06-13T12:27:00Z</dcterms:modified>
</cp:coreProperties>
</file>